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187.850006pt;margin-top:32.307804pt;width:342pt;height:.1pt;mso-position-horizontal-relative:page;mso-position-vertical-relative:paragraph;z-index:-15728640;mso-wrap-distance-left:0;mso-wrap-distance-right:0" coordorigin="3757,646" coordsize="6840,0" path="m3757,646l10597,646e" filled="false" stroked="true" strokeweight="2pt" strokecolor="#00174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899794</wp:posOffset>
            </wp:positionH>
            <wp:positionV relativeFrom="paragraph">
              <wp:posOffset>-145188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740"/>
        </w:rPr>
        <w:t>TRANSIT TEX</w:t>
      </w:r>
      <w:r>
        <w:rPr>
          <w:color w:val="001740"/>
          <w:spacing w:val="1"/>
        </w:rPr>
        <w:t> </w:t>
      </w:r>
      <w:r>
        <w:rPr>
          <w:color w:val="001740"/>
        </w:rPr>
        <w:t>MAX</w:t>
      </w:r>
      <w:r>
        <w:rPr>
          <w:color w:val="001740"/>
          <w:spacing w:val="-3"/>
        </w:rPr>
        <w:t> </w:t>
      </w:r>
      <w:r>
        <w:rPr>
          <w:color w:val="001740"/>
        </w:rPr>
        <w:t>2S3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1"/>
        <w:ind w:left="136" w:right="133"/>
        <w:jc w:val="both"/>
      </w:pPr>
      <w:r>
        <w:rPr/>
        <w:t>Le revêtement de sol sélectionné est un revêtement PVC multicouche</w:t>
      </w:r>
      <w:r>
        <w:rPr>
          <w:spacing w:val="1"/>
        </w:rPr>
        <w:t> </w:t>
      </w:r>
      <w:r>
        <w:rPr/>
        <w:t>imprimé,</w:t>
      </w:r>
      <w:r>
        <w:rPr>
          <w:spacing w:val="-7"/>
        </w:rPr>
        <w:t> </w:t>
      </w:r>
      <w:r>
        <w:rPr/>
        <w:t>armaturé</w:t>
      </w:r>
      <w:r>
        <w:rPr>
          <w:spacing w:val="-11"/>
        </w:rPr>
        <w:t> </w:t>
      </w:r>
      <w:r>
        <w:rPr/>
        <w:t>par</w:t>
      </w:r>
      <w:r>
        <w:rPr>
          <w:spacing w:val="-6"/>
        </w:rPr>
        <w:t> </w:t>
      </w:r>
      <w:r>
        <w:rPr/>
        <w:t>un</w:t>
      </w:r>
      <w:r>
        <w:rPr>
          <w:spacing w:val="-11"/>
        </w:rPr>
        <w:t> </w:t>
      </w:r>
      <w:r>
        <w:rPr/>
        <w:t>voile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verre,</w:t>
      </w:r>
      <w:r>
        <w:rPr>
          <w:spacing w:val="-6"/>
        </w:rPr>
        <w:t> </w:t>
      </w:r>
      <w:r>
        <w:rPr/>
        <w:t>une</w:t>
      </w:r>
      <w:r>
        <w:rPr>
          <w:spacing w:val="-9"/>
        </w:rPr>
        <w:t> </w:t>
      </w:r>
      <w:r>
        <w:rPr/>
        <w:t>couche</w:t>
      </w:r>
      <w:r>
        <w:rPr>
          <w:spacing w:val="-10"/>
        </w:rPr>
        <w:t> </w:t>
      </w:r>
      <w:r>
        <w:rPr/>
        <w:t>rigide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textile</w:t>
      </w:r>
      <w:r>
        <w:rPr>
          <w:spacing w:val="-10"/>
        </w:rPr>
        <w:t> </w:t>
      </w:r>
      <w:r>
        <w:rPr/>
        <w:t>en</w:t>
      </w:r>
      <w:r>
        <w:rPr>
          <w:spacing w:val="-75"/>
        </w:rPr>
        <w:t> </w:t>
      </w:r>
      <w:r>
        <w:rPr/>
        <w:t>envers,</w:t>
      </w:r>
      <w:r>
        <w:rPr>
          <w:spacing w:val="-11"/>
        </w:rPr>
        <w:t> </w:t>
      </w:r>
      <w:r>
        <w:rPr/>
        <w:t>isophonique,</w:t>
      </w:r>
      <w:r>
        <w:rPr>
          <w:spacing w:val="-9"/>
        </w:rPr>
        <w:t> </w:t>
      </w:r>
      <w:r>
        <w:rPr/>
        <w:t>à</w:t>
      </w:r>
      <w:r>
        <w:rPr>
          <w:spacing w:val="-14"/>
        </w:rPr>
        <w:t> </w:t>
      </w:r>
      <w:r>
        <w:rPr/>
        <w:t>couche</w:t>
      </w:r>
      <w:r>
        <w:rPr>
          <w:spacing w:val="-10"/>
        </w:rPr>
        <w:t> </w:t>
      </w:r>
      <w:r>
        <w:rPr/>
        <w:t>d’usure</w:t>
      </w:r>
      <w:r>
        <w:rPr>
          <w:spacing w:val="-12"/>
        </w:rPr>
        <w:t> </w:t>
      </w:r>
      <w:r>
        <w:rPr/>
        <w:t>transparente</w:t>
      </w:r>
      <w:r>
        <w:rPr>
          <w:spacing w:val="-12"/>
        </w:rPr>
        <w:t> </w:t>
      </w:r>
      <w:r>
        <w:rPr/>
        <w:t>(0.45</w:t>
      </w:r>
      <w:r>
        <w:rPr>
          <w:spacing w:val="-14"/>
        </w:rPr>
        <w:t> </w:t>
      </w:r>
      <w:r>
        <w:rPr/>
        <w:t>mm),</w:t>
      </w:r>
      <w:r>
        <w:rPr>
          <w:spacing w:val="-14"/>
        </w:rPr>
        <w:t> </w:t>
      </w:r>
      <w:r>
        <w:rPr/>
        <w:t>classe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glissance R10, groupe T d’abrasion, en rouleau de 2 et 4 m de large, de</w:t>
      </w:r>
      <w:r>
        <w:rPr>
          <w:spacing w:val="1"/>
        </w:rPr>
        <w:t> </w:t>
      </w:r>
      <w:r>
        <w:rPr/>
        <w:t>type</w:t>
      </w:r>
      <w:r>
        <w:rPr>
          <w:spacing w:val="-5"/>
        </w:rPr>
        <w:t> </w:t>
      </w:r>
      <w:r>
        <w:rPr/>
        <w:t>TRANSIT</w:t>
      </w:r>
      <w:r>
        <w:rPr>
          <w:spacing w:val="-1"/>
        </w:rPr>
        <w:t> </w:t>
      </w:r>
      <w:r>
        <w:rPr/>
        <w:t>TEX</w:t>
      </w:r>
      <w:r>
        <w:rPr>
          <w:spacing w:val="-2"/>
        </w:rPr>
        <w:t> </w:t>
      </w:r>
      <w:r>
        <w:rPr/>
        <w:t>MAX 2S3.</w:t>
      </w:r>
    </w:p>
    <w:p>
      <w:pPr>
        <w:pStyle w:val="BodyText"/>
        <w:spacing w:before="1"/>
      </w:pPr>
    </w:p>
    <w:p>
      <w:pPr>
        <w:pStyle w:val="BodyText"/>
        <w:ind w:left="136" w:right="138"/>
        <w:jc w:val="both"/>
      </w:pPr>
      <w:r>
        <w:rPr/>
        <w:t>Fabriqué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France,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recyclable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chutes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pose</w:t>
      </w:r>
      <w:r>
        <w:rPr>
          <w:spacing w:val="-75"/>
        </w:rPr>
        <w:t> </w:t>
      </w:r>
      <w:r>
        <w:rPr/>
        <w:t>pourront être collectées et recyclées au travers du programme Gerflor</w:t>
      </w:r>
      <w:r>
        <w:rPr>
          <w:spacing w:val="1"/>
        </w:rPr>
        <w:t> </w:t>
      </w:r>
      <w:r>
        <w:rPr/>
        <w:t>Seconde</w:t>
      </w:r>
      <w:r>
        <w:rPr>
          <w:spacing w:val="-2"/>
        </w:rPr>
        <w:t> </w:t>
      </w:r>
      <w:r>
        <w:rPr/>
        <w:t>Vie.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136"/>
        <w:jc w:val="both"/>
      </w:pPr>
      <w:r>
        <w:rPr/>
        <w:t>Sa</w:t>
      </w:r>
      <w:r>
        <w:rPr>
          <w:spacing w:val="20"/>
        </w:rPr>
        <w:t> </w:t>
      </w:r>
      <w:r>
        <w:rPr/>
        <w:t>composition</w:t>
      </w:r>
      <w:r>
        <w:rPr>
          <w:spacing w:val="17"/>
        </w:rPr>
        <w:t> </w:t>
      </w:r>
      <w:r>
        <w:rPr/>
        <w:t>comprendra</w:t>
      </w:r>
      <w:r>
        <w:rPr>
          <w:spacing w:val="20"/>
        </w:rPr>
        <w:t> </w:t>
      </w:r>
      <w:r>
        <w:rPr/>
        <w:t>au</w:t>
      </w:r>
      <w:r>
        <w:rPr>
          <w:spacing w:val="17"/>
        </w:rPr>
        <w:t> </w:t>
      </w:r>
      <w:r>
        <w:rPr/>
        <w:t>moins</w:t>
      </w:r>
      <w:r>
        <w:rPr>
          <w:spacing w:val="19"/>
        </w:rPr>
        <w:t> </w:t>
      </w:r>
      <w:r>
        <w:rPr/>
        <w:t>30%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matières</w:t>
      </w:r>
      <w:r>
        <w:rPr>
          <w:spacing w:val="18"/>
        </w:rPr>
        <w:t> </w:t>
      </w:r>
      <w:r>
        <w:rPr/>
        <w:t>minérales</w:t>
      </w:r>
      <w:r>
        <w:rPr>
          <w:spacing w:val="18"/>
        </w:rPr>
        <w:t> </w:t>
      </w:r>
      <w:r>
        <w:rPr/>
        <w:t>et</w:t>
      </w:r>
      <w:r>
        <w:rPr>
          <w:spacing w:val="21"/>
        </w:rPr>
        <w:t> </w:t>
      </w:r>
      <w:r>
        <w:rPr/>
        <w:t>20</w:t>
      </w:r>
    </w:p>
    <w:p>
      <w:pPr>
        <w:pStyle w:val="BodyText"/>
        <w:ind w:left="136" w:right="134"/>
        <w:jc w:val="both"/>
      </w:pPr>
      <w:r>
        <w:rPr/>
        <w:t>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matières</w:t>
      </w:r>
      <w:r>
        <w:rPr>
          <w:spacing w:val="1"/>
        </w:rPr>
        <w:t> </w:t>
      </w:r>
      <w:r>
        <w:rPr/>
        <w:t>inépuisables.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envers</w:t>
      </w:r>
      <w:r>
        <w:rPr>
          <w:spacing w:val="1"/>
        </w:rPr>
        <w:t> </w:t>
      </w:r>
      <w:r>
        <w:rPr/>
        <w:t>textile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bouteilles PET recyclées.</w:t>
      </w:r>
      <w:r>
        <w:rPr>
          <w:spacing w:val="1"/>
        </w:rPr>
        <w:t> </w:t>
      </w:r>
      <w:r>
        <w:rPr/>
        <w:t>Les produits GERFLOR sont conformes à</w:t>
      </w:r>
      <w:r>
        <w:rPr>
          <w:spacing w:val="1"/>
        </w:rPr>
        <w:t> </w:t>
      </w:r>
      <w:r>
        <w:rPr/>
        <w:t>REACH. Les émissions dans l’air de TVOC à 28 jours (NF EN 16000)</w:t>
      </w:r>
      <w:r>
        <w:rPr>
          <w:spacing w:val="1"/>
        </w:rPr>
        <w:t> </w:t>
      </w:r>
      <w:r>
        <w:rPr/>
        <w:t>seront &lt; 100 µg / m³ et seront classées A+ (la meilleure classe) dans le</w:t>
      </w:r>
      <w:r>
        <w:rPr>
          <w:spacing w:val="1"/>
        </w:rPr>
        <w:t> </w:t>
      </w:r>
      <w:r>
        <w:rPr/>
        <w:t>cadre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l’étiquetage</w:t>
      </w:r>
      <w:r>
        <w:rPr>
          <w:spacing w:val="1"/>
        </w:rPr>
        <w:t> </w:t>
      </w:r>
      <w:r>
        <w:rPr/>
        <w:t>sanitaire.</w:t>
      </w:r>
    </w:p>
    <w:p>
      <w:pPr>
        <w:pStyle w:val="BodyText"/>
      </w:pPr>
    </w:p>
    <w:p>
      <w:pPr>
        <w:pStyle w:val="BodyText"/>
        <w:spacing w:before="1"/>
        <w:ind w:left="136" w:right="138"/>
        <w:jc w:val="both"/>
      </w:pPr>
      <w:r>
        <w:rPr/>
        <w:t>Grâce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MAX3</w:t>
      </w:r>
      <w:r>
        <w:rPr>
          <w:spacing w:val="1"/>
        </w:rPr>
        <w:t> </w:t>
      </w:r>
      <w:r>
        <w:rPr/>
        <w:t>incluant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couche</w:t>
      </w:r>
      <w:r>
        <w:rPr>
          <w:spacing w:val="1"/>
        </w:rPr>
        <w:t> </w:t>
      </w:r>
      <w:r>
        <w:rPr/>
        <w:t>alvéolaire,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bénéficiera</w:t>
      </w:r>
      <w:r>
        <w:rPr>
          <w:spacing w:val="-3"/>
        </w:rPr>
        <w:t> </w:t>
      </w:r>
      <w:r>
        <w:rPr/>
        <w:t>d’une</w:t>
      </w:r>
      <w:r>
        <w:rPr>
          <w:spacing w:val="-2"/>
        </w:rPr>
        <w:t> </w:t>
      </w:r>
      <w:r>
        <w:rPr/>
        <w:t>isolation</w:t>
      </w:r>
      <w:r>
        <w:rPr>
          <w:spacing w:val="-3"/>
        </w:rPr>
        <w:t> </w:t>
      </w:r>
      <w:r>
        <w:rPr/>
        <w:t>acoustique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dB.</w:t>
      </w:r>
    </w:p>
    <w:p>
      <w:pPr>
        <w:pStyle w:val="BodyText"/>
        <w:spacing w:before="1"/>
      </w:pPr>
    </w:p>
    <w:p>
      <w:pPr>
        <w:pStyle w:val="BodyText"/>
        <w:ind w:left="136" w:right="133"/>
        <w:jc w:val="both"/>
      </w:pPr>
      <w:r>
        <w:rPr/>
        <w:t>Le revêtement de sol Transit Tex Max 2S3 se posera sans colle avec un</w:t>
      </w:r>
      <w:r>
        <w:rPr>
          <w:spacing w:val="1"/>
        </w:rPr>
        <w:t> </w:t>
      </w:r>
      <w:r>
        <w:rPr/>
        <w:t>adhésif</w:t>
      </w:r>
      <w:r>
        <w:rPr>
          <w:spacing w:val="-11"/>
        </w:rPr>
        <w:t> </w:t>
      </w:r>
      <w:r>
        <w:rPr/>
        <w:t>double</w:t>
      </w:r>
      <w:r>
        <w:rPr>
          <w:spacing w:val="-15"/>
        </w:rPr>
        <w:t> </w:t>
      </w:r>
      <w:r>
        <w:rPr/>
        <w:t>face</w:t>
      </w:r>
      <w:r>
        <w:rPr>
          <w:spacing w:val="-15"/>
        </w:rPr>
        <w:t> </w:t>
      </w:r>
      <w:r>
        <w:rPr/>
        <w:t>non</w:t>
      </w:r>
      <w:r>
        <w:rPr>
          <w:spacing w:val="-14"/>
        </w:rPr>
        <w:t> </w:t>
      </w:r>
      <w:r>
        <w:rPr/>
        <w:t>migrant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périphérie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pièces</w:t>
      </w:r>
      <w:r>
        <w:rPr>
          <w:spacing w:val="-14"/>
        </w:rPr>
        <w:t> </w:t>
      </w:r>
      <w:r>
        <w:rPr/>
        <w:t>et</w:t>
      </w:r>
      <w:r>
        <w:rPr>
          <w:spacing w:val="-11"/>
        </w:rPr>
        <w:t> </w:t>
      </w:r>
      <w:r>
        <w:rPr/>
        <w:t>aux</w:t>
      </w:r>
      <w:r>
        <w:rPr>
          <w:spacing w:val="-13"/>
        </w:rPr>
        <w:t> </w:t>
      </w:r>
      <w:r>
        <w:rPr/>
        <w:t>joints</w:t>
      </w:r>
      <w:r>
        <w:rPr>
          <w:spacing w:val="-12"/>
        </w:rPr>
        <w:t> </w:t>
      </w:r>
      <w:r>
        <w:rPr/>
        <w:t>des</w:t>
      </w:r>
      <w:r>
        <w:rPr>
          <w:spacing w:val="-76"/>
        </w:rPr>
        <w:t> </w:t>
      </w:r>
      <w:r>
        <w:rPr/>
        <w:t>lés. Il sera apte à l’usage</w:t>
      </w:r>
      <w:r>
        <w:rPr>
          <w:spacing w:val="1"/>
        </w:rPr>
        <w:t> </w:t>
      </w:r>
      <w:r>
        <w:rPr/>
        <w:t>dans des locaux classés au plus </w:t>
      </w:r>
      <w:r>
        <w:rPr>
          <w:sz w:val="24"/>
        </w:rPr>
        <w:t>U2SP3E2/3C2</w:t>
      </w:r>
      <w:r>
        <w:rPr>
          <w:spacing w:val="1"/>
          <w:sz w:val="24"/>
        </w:rPr>
        <w:t> </w:t>
      </w:r>
      <w:r>
        <w:rPr/>
        <w:t>(avis technique en cours). Avec un adhésif de type Fix&amp;Free, il sera</w:t>
      </w:r>
      <w:r>
        <w:rPr>
          <w:spacing w:val="1"/>
        </w:rPr>
        <w:t> </w:t>
      </w:r>
      <w:r>
        <w:rPr/>
        <w:t>préconisé en rénovation, pour le recouvrement de supports anciens, y</w:t>
      </w:r>
      <w:r>
        <w:rPr>
          <w:spacing w:val="1"/>
        </w:rPr>
        <w:t> </w:t>
      </w:r>
      <w:r>
        <w:rPr/>
        <w:t>compris amiantés.</w:t>
      </w:r>
    </w:p>
    <w:p>
      <w:pPr>
        <w:pStyle w:val="BodyText"/>
      </w:pPr>
    </w:p>
    <w:p>
      <w:pPr>
        <w:pStyle w:val="BodyText"/>
        <w:ind w:left="136" w:right="138"/>
        <w:jc w:val="both"/>
      </w:pPr>
      <w:r>
        <w:rPr/>
        <w:t>Il</w:t>
      </w:r>
      <w:r>
        <w:rPr>
          <w:spacing w:val="1"/>
        </w:rPr>
        <w:t> </w:t>
      </w:r>
      <w:r>
        <w:rPr/>
        <w:t>bénéficiera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grainage</w:t>
      </w:r>
      <w:r>
        <w:rPr>
          <w:spacing w:val="1"/>
        </w:rPr>
        <w:t> </w:t>
      </w:r>
      <w:r>
        <w:rPr/>
        <w:t>mécanique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traitement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/>
        <w:t>Gernet®</w:t>
      </w:r>
      <w:r>
        <w:rPr>
          <w:spacing w:val="-5"/>
        </w:rPr>
        <w:t> </w:t>
      </w:r>
      <w:r>
        <w:rPr/>
        <w:t>Ultra</w:t>
      </w:r>
      <w:r>
        <w:rPr>
          <w:spacing w:val="1"/>
        </w:rPr>
        <w:t> </w:t>
      </w:r>
      <w:r>
        <w:rPr/>
        <w:t>qui</w:t>
      </w:r>
      <w:r>
        <w:rPr>
          <w:spacing w:val="-4"/>
        </w:rPr>
        <w:t> </w:t>
      </w:r>
      <w:r>
        <w:rPr/>
        <w:t>facilitera</w:t>
      </w:r>
      <w:r>
        <w:rPr>
          <w:spacing w:val="-2"/>
        </w:rPr>
        <w:t> </w:t>
      </w:r>
      <w:r>
        <w:rPr/>
        <w:t>l’entretien.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69.384003pt;margin-top:10.234792pt;width:456.5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377" w:val="left" w:leader="none"/>
        </w:tabs>
        <w:spacing w:before="9"/>
        <w:ind w:left="1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descriptif</w:t>
        <w:tab/>
        <w:t>gerflor.fr</w:t>
      </w:r>
    </w:p>
    <w:sectPr>
      <w:type w:val="continuous"/>
      <w:pgSz w:w="11910" w:h="16840"/>
      <w:pgMar w:top="12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5688"/>
    </w:pPr>
    <w:rPr>
      <w:rFonts w:ascii="Arial MT" w:hAnsi="Arial MT" w:eastAsia="Arial MT" w:cs="Arial MT"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dcterms:created xsi:type="dcterms:W3CDTF">2022-11-19T13:47:00Z</dcterms:created>
  <dcterms:modified xsi:type="dcterms:W3CDTF">2022-11-19T13:47:00Z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2022-11-19T00:00:00Z</vt:filetime>
  </property>
</Properties>
</file>